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before="1540" w:line="240" w:lineRule="auto"/>
        <w:jc w:val="center"/>
        <w:rPr>
          <w:b w:val="0"/>
          <w:bCs w:val="0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before="1540" w:line="240" w:lineRule="auto"/>
        <w:jc w:val="center"/>
        <w:rPr>
          <w:b w:val="0"/>
          <w:bCs w:val="0"/>
          <w:color w:val="000000"/>
          <w:sz w:val="22"/>
          <w:szCs w:val="22"/>
        </w:rPr>
      </w:pPr>
      <w:r w:rsidDel="00000000" w:rsidR="00000000" w:rsidRPr="00000000">
        <w:rPr>
          <w:b w:val="0"/>
          <w:bCs w:val="0"/>
          <w:color w:val="000000"/>
          <w:sz w:val="22"/>
          <w:szCs w:val="22"/>
        </w:rPr>
        <w:drawing>
          <wp:inline distB="0" distT="0" distL="0" distR="0">
            <wp:extent cx="1417320" cy="750898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1905317</wp:posOffset>
            </wp:positionH>
            <wp:positionV relativeFrom="paragraph">
              <wp:posOffset>-833117</wp:posOffset>
            </wp:positionV>
            <wp:extent cx="1801495" cy="179959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799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Bdr>
          <w:top w:color="549e39" w:space="6" w:sz="6" w:val="single"/>
          <w:left w:space="0" w:sz="0" w:val="nil"/>
          <w:bottom w:color="549e39" w:space="6" w:sz="6" w:val="single"/>
          <w:right w:space="0" w:sz="0" w:val="nil"/>
          <w:between w:space="0" w:sz="0" w:val="nil"/>
        </w:pBdr>
        <w:spacing w:after="240" w:line="240" w:lineRule="auto"/>
        <w:jc w:val="center"/>
        <w:rPr>
          <w:smallCaps w:val="1"/>
          <w:color w:val="000000"/>
          <w:sz w:val="80"/>
          <w:szCs w:val="80"/>
        </w:rPr>
      </w:pPr>
      <w:r w:rsidDel="00000000" w:rsidR="00000000" w:rsidRPr="00000000">
        <w:rPr>
          <w:smallCaps w:val="1"/>
          <w:color w:val="000000"/>
          <w:sz w:val="72"/>
          <w:szCs w:val="72"/>
          <w:rtl w:val="0"/>
        </w:rPr>
        <w:t xml:space="preserve">INFORME SEMESTRAL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b w:val="0"/>
          <w:bCs w:val="0"/>
          <w:color w:val="000000"/>
        </w:rPr>
      </w:pPr>
      <w:r w:rsidDel="00000000" w:rsidR="00000000" w:rsidRPr="00000000">
        <w:rPr>
          <w:color w:val="000000"/>
          <w:rtl w:val="0"/>
        </w:rPr>
        <w:t xml:space="preserve">Comisión Edilicia De Asuntos Internacionales, Turismo y Promoción Económica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80" w:line="240" w:lineRule="auto"/>
        <w:jc w:val="center"/>
        <w:rPr>
          <w:b w:val="0"/>
          <w:bCs w:val="0"/>
          <w:color w:val="000000"/>
          <w:sz w:val="22"/>
          <w:szCs w:val="22"/>
        </w:rPr>
      </w:pPr>
      <w:r w:rsidDel="00000000" w:rsidR="00000000" w:rsidRPr="00000000">
        <w:rPr>
          <w:b w:val="0"/>
          <w:bCs w:val="0"/>
          <w:color w:val="000000"/>
          <w:sz w:val="22"/>
          <w:szCs w:val="22"/>
        </w:rPr>
        <w:drawing>
          <wp:inline distB="0" distT="0" distL="0" distR="0">
            <wp:extent cx="758952" cy="478932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80" w:line="24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INTEGRANTES DE LA COMISIÓN EDILICIA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80" w:line="24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JOSÉ RODRIGO GARCÍA ZARAGOZA (REGIDOR PRESIDENTE DE LA COMISIÓN)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DAVID ALEJANDRO MARTINEZ ASCENCIO (REGIDOR VOCAL DE LA COMISIÓN)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MARAYM YOTZABEL GONZÁLEZ ÁLVAREZ (REGIDORA VOCAL DE LA COMISIÓN)</w:t>
      </w:r>
    </w:p>
    <w:p w:rsidR="00000000" w:rsidDel="00000000" w:rsidP="00000000" w:rsidRDefault="00000000" w:rsidRPr="00000000" w14:paraId="0000000B">
      <w:pPr>
        <w:spacing w:line="240" w:lineRule="auto"/>
        <w:rPr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rPr>
          <w:color w:val="000000"/>
          <w:sz w:val="28"/>
          <w:szCs w:val="28"/>
        </w:rPr>
      </w:pPr>
      <w:bookmarkStart w:colFirst="0" w:colLast="0" w:name="_heading=h.1shyms2am7hy" w:id="0"/>
      <w:bookmarkEnd w:id="0"/>
      <w:r w:rsidDel="00000000" w:rsidR="00000000" w:rsidRPr="00000000">
        <w:rPr>
          <w:color w:val="000000"/>
          <w:sz w:val="28"/>
          <w:szCs w:val="28"/>
          <w:rtl w:val="0"/>
        </w:rPr>
        <w:t xml:space="preserve">Introducción.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color w:val="000000"/>
          <w:rtl w:val="0"/>
        </w:rPr>
        <w:t xml:space="preserve">Asuntos Internacionales, Turismo y Promoción Económica</w:t>
      </w: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  <w:r w:rsidDel="00000000" w:rsidR="00000000" w:rsidRPr="00000000">
        <w:rPr>
          <w:color w:val="000000"/>
          <w:rtl w:val="0"/>
        </w:rPr>
        <w:t xml:space="preserve">de</w:t>
      </w:r>
      <w:r w:rsidDel="00000000" w:rsidR="00000000" w:rsidRPr="00000000">
        <w:rPr>
          <w:b w:val="0"/>
          <w:bCs w:val="0"/>
          <w:color w:val="000000"/>
          <w:rtl w:val="0"/>
        </w:rPr>
        <w:t xml:space="preserve"> este Ayuntamiento</w:t>
      </w:r>
      <w:r w:rsidDel="00000000" w:rsidR="00000000" w:rsidRPr="00000000">
        <w:rPr>
          <w:b w:val="0"/>
          <w:bCs w:val="0"/>
          <w:color w:val="000000"/>
          <w:vertAlign w:val="superscript"/>
        </w:rPr>
        <w:footnoteReference w:customMarkFollows="0" w:id="0"/>
      </w:r>
      <w:r w:rsidDel="00000000" w:rsidR="00000000" w:rsidRPr="00000000">
        <w:rPr>
          <w:b w:val="0"/>
          <w:bCs w:val="0"/>
          <w:color w:val="000000"/>
          <w:rtl w:val="0"/>
        </w:rPr>
        <w:t xml:space="preserve"> en el primer semestre del año 2026, de la administración 2024-2027, al cual corresponden los siguientes meses: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Enero año 2026,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Febrero año 2026,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Marzo año 2026,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Abril año 2026,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Mayo año 2026,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Junio año 2026.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La Comisión Edilicia de </w:t>
      </w:r>
      <w:r w:rsidDel="00000000" w:rsidR="00000000" w:rsidRPr="00000000">
        <w:rPr>
          <w:color w:val="000000"/>
          <w:rtl w:val="0"/>
        </w:rPr>
        <w:t xml:space="preserve">Comisión Edilicia de Asuntos Internacionales, Turismo y Promoción Económica </w:t>
      </w:r>
      <w:r w:rsidDel="00000000" w:rsidR="00000000" w:rsidRPr="00000000">
        <w:rPr>
          <w:b w:val="0"/>
          <w:bCs w:val="0"/>
          <w:color w:val="000000"/>
          <w:rtl w:val="0"/>
        </w:rPr>
        <w:t xml:space="preserve">es presidida por el regidor </w:t>
      </w:r>
      <w:r w:rsidDel="00000000" w:rsidR="00000000" w:rsidRPr="00000000">
        <w:rPr>
          <w:color w:val="000000"/>
          <w:rtl w:val="0"/>
        </w:rPr>
        <w:t xml:space="preserve">José Rodrigo García Zaragoza</w:t>
      </w:r>
      <w:r w:rsidDel="00000000" w:rsidR="00000000" w:rsidRPr="00000000">
        <w:rPr>
          <w:b w:val="0"/>
          <w:bCs w:val="0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Style w:val="Heading1"/>
        <w:jc w:val="center"/>
        <w:rPr>
          <w:color w:val="000000"/>
          <w:sz w:val="28"/>
          <w:szCs w:val="28"/>
        </w:rPr>
      </w:pPr>
      <w:bookmarkStart w:colFirst="0" w:colLast="0" w:name="_heading=h.ps66sobi9f8l" w:id="1"/>
      <w:bookmarkEnd w:id="1"/>
      <w:r w:rsidDel="00000000" w:rsidR="00000000" w:rsidRPr="00000000">
        <w:rPr>
          <w:color w:val="000000"/>
          <w:sz w:val="28"/>
          <w:szCs w:val="28"/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1242</wp:posOffset>
            </wp:positionH>
            <wp:positionV relativeFrom="paragraph">
              <wp:posOffset>-2041</wp:posOffset>
            </wp:positionV>
            <wp:extent cx="1164516" cy="1800000"/>
            <wp:effectExtent b="0" l="0" r="0" t="0"/>
            <wp:wrapNone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 b="1392" l="19580" r="17870" t="34254"/>
                    <a:stretch>
                      <a:fillRect/>
                    </a:stretch>
                  </pic:blipFill>
                  <pic:spPr>
                    <a:xfrm>
                      <a:off x="0" y="0"/>
                      <a:ext cx="1164516" cy="1800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                                 </w:t>
      </w:r>
      <w:r w:rsidDel="00000000" w:rsidR="00000000" w:rsidRPr="00000000">
        <w:rPr>
          <w:color w:val="000000"/>
          <w:rtl w:val="0"/>
        </w:rPr>
        <w:t xml:space="preserve">Regidor José Rodrigo García Zaragoza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                                      Presidente de la Comisión.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1435</wp:posOffset>
            </wp:positionH>
            <wp:positionV relativeFrom="paragraph">
              <wp:posOffset>227965</wp:posOffset>
            </wp:positionV>
            <wp:extent cx="1144988" cy="1645920"/>
            <wp:effectExtent b="0" l="0" r="0" t="0"/>
            <wp:wrapNone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2"/>
                    <a:srcRect b="3352" l="14728" r="19429" t="35176"/>
                    <a:stretch>
                      <a:fillRect/>
                    </a:stretch>
                  </pic:blipFill>
                  <pic:spPr>
                    <a:xfrm>
                      <a:off x="0" y="0"/>
                      <a:ext cx="1144988" cy="16459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Regidor David Alejandro Martínez Ascencio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Vocal de la Comisión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09" w:right="536" w:firstLine="0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br w:type="textWrapping"/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right="536" w:firstLine="0"/>
        <w:jc w:val="left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-4762</wp:posOffset>
            </wp:positionH>
            <wp:positionV relativeFrom="paragraph">
              <wp:posOffset>161925</wp:posOffset>
            </wp:positionV>
            <wp:extent cx="1175385" cy="1799590"/>
            <wp:effectExtent b="0" l="0" r="0" t="0"/>
            <wp:wrapNone/>
            <wp:docPr id="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3"/>
                    <a:srcRect b="1622" l="21312" r="15098" t="33561"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17995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right="536" w:firstLine="0"/>
        <w:jc w:val="left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                              </w:t>
      </w:r>
      <w:r w:rsidDel="00000000" w:rsidR="00000000" w:rsidRPr="00000000">
        <w:rPr>
          <w:color w:val="000000"/>
          <w:rtl w:val="0"/>
        </w:rPr>
        <w:t xml:space="preserve">Maraym Yotzabel González Álvarez</w:t>
      </w:r>
      <w:r w:rsidDel="00000000" w:rsidR="00000000" w:rsidRPr="00000000">
        <w:rPr>
          <w:b w:val="0"/>
          <w:bCs w:val="0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right="536" w:firstLine="0"/>
        <w:jc w:val="left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                              Vocal de la Comisión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right="536" w:firstLine="0"/>
        <w:jc w:val="left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ind w:right="536"/>
        <w:rPr>
          <w:color w:val="000000"/>
          <w:sz w:val="28"/>
          <w:szCs w:val="28"/>
        </w:rPr>
      </w:pPr>
      <w:bookmarkStart w:colFirst="0" w:colLast="0" w:name="_heading=h.dt5mkg8iknj9" w:id="2"/>
      <w:bookmarkEnd w:id="2"/>
      <w:r w:rsidDel="00000000" w:rsidR="00000000" w:rsidRPr="00000000">
        <w:rPr>
          <w:color w:val="000000"/>
          <w:sz w:val="28"/>
          <w:szCs w:val="28"/>
          <w:rtl w:val="0"/>
        </w:rPr>
        <w:t xml:space="preserve">Resultados.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En el primer semestre del año 2026, las actividades principales de la Comisión Edilicia de Asuntos Internacionales, Turismo y Promoción Económica del Ayuntamiento de Ixtlahuacán de los Membrillos fueron las siguientes: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789" w:right="536" w:hanging="36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789" w:right="536" w:hanging="36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789" w:right="536" w:hanging="360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1789" w:right="536" w:firstLine="0"/>
        <w:jc w:val="both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536"/>
        <w:jc w:val="both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detallan los asuntos más relevantes atendidos por la Comisión Edilicia de Asuntos Internacionales, Turismo y Promoción Económica del Ayuntamiento de Ixtlahuacán de los Membrillos, Jalisco, correspondientes al periodo de enero a junio, así como el hipervínculo institucional en el que pueden consultarse, según corresponda, las convocatorias, actas y oficios justificantes publicados durante dicho periodo.</w:t>
      </w:r>
    </w:p>
    <w:p w:rsidR="00000000" w:rsidDel="00000000" w:rsidP="00000000" w:rsidRDefault="00000000" w:rsidRPr="00000000" w14:paraId="0000002F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Periodo reportado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Medio de consulta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Enero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Febrero</w:t>
            </w:r>
          </w:p>
        </w:tc>
        <w:tc>
          <w:tcPr/>
          <w:p w:rsidR="00000000" w:rsidDel="00000000" w:rsidP="00000000" w:rsidRDefault="00000000" w:rsidRPr="00000000" w14:paraId="00000038">
            <w:pPr>
              <w:rPr/>
            </w:pPr>
            <w:hyperlink r:id="rId15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A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Marzo</w:t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hyperlink r:id="rId16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Abril</w:t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hyperlink r:id="rId17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F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40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Mayo</w:t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hyperlink r:id="rId18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43">
            <w:pPr>
              <w:jc w:val="center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Junio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hyperlink r:id="rId19">
              <w:r w:rsidDel="00000000" w:rsidR="00000000" w:rsidRPr="00000000">
                <w:rPr>
                  <w:b w:val="0"/>
                  <w:bCs w:val="0"/>
                  <w:color w:val="6b9f25"/>
                  <w:u w:val="single"/>
                  <w:rtl w:val="0"/>
                </w:rPr>
                <w:t xml:space="preserve">https://utei.imembrillos.gob.mx/8_VI_j.html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el momento.</w:t>
      </w:r>
    </w:p>
    <w:p w:rsidR="00000000" w:rsidDel="00000000" w:rsidP="00000000" w:rsidRDefault="00000000" w:rsidRPr="00000000" w14:paraId="00000047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Atentamente</w:t>
      </w:r>
    </w:p>
    <w:p w:rsidR="00000000" w:rsidDel="00000000" w:rsidP="00000000" w:rsidRDefault="00000000" w:rsidRPr="00000000" w14:paraId="00000049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JOSÉ RODRIGO GARCÍA ZARAGOZA</w:t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center"/>
        <w:rPr>
          <w:b w:val="0"/>
          <w:bCs w:val="0"/>
        </w:rPr>
      </w:pPr>
      <w:r w:rsidDel="00000000" w:rsidR="00000000" w:rsidRPr="00000000">
        <w:rPr>
          <w:color w:val="000000"/>
          <w:rtl w:val="0"/>
        </w:rPr>
        <w:t xml:space="preserve">REGIDOR PRESIDENTE DE LA COMISIÓN EDILICIA DE ASUNTOS INTERNACIONALES, TURISMO Y PROMOCIÓN ECONÓMICA.</w:t>
      </w:r>
      <w:r w:rsidDel="00000000" w:rsidR="00000000" w:rsidRPr="00000000">
        <w:rPr>
          <w:rtl w:val="0"/>
        </w:rPr>
      </w:r>
    </w:p>
    <w:sectPr>
      <w:footerReference r:id="rId20" w:type="default"/>
      <w:pgSz w:h="20160" w:w="12240" w:orient="portrait"/>
      <w:pgMar w:bottom="2449.8425196850417" w:top="2976.377952755906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rPr/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/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sz w:val="72"/>
      <w:szCs w:val="72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1.xml"/><Relationship Id="rId11" Type="http://schemas.openxmlformats.org/officeDocument/2006/relationships/image" Target="media/image2.jpg"/><Relationship Id="rId10" Type="http://schemas.openxmlformats.org/officeDocument/2006/relationships/image" Target="media/image5.png"/><Relationship Id="rId13" Type="http://schemas.openxmlformats.org/officeDocument/2006/relationships/image" Target="media/image6.jpg"/><Relationship Id="rId12" Type="http://schemas.openxmlformats.org/officeDocument/2006/relationships/image" Target="media/image3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png"/><Relationship Id="rId15" Type="http://schemas.openxmlformats.org/officeDocument/2006/relationships/hyperlink" Target="https://utei.imembrillos.gob.mx/8_VI_j.html" TargetMode="External"/><Relationship Id="rId14" Type="http://schemas.openxmlformats.org/officeDocument/2006/relationships/hyperlink" Target="https://utei.imembrillos.gob.mx/8_VI_j.html" TargetMode="External"/><Relationship Id="rId17" Type="http://schemas.openxmlformats.org/officeDocument/2006/relationships/hyperlink" Target="https://utei.imembrillos.gob.mx/8_VI_j.html" TargetMode="External"/><Relationship Id="rId16" Type="http://schemas.openxmlformats.org/officeDocument/2006/relationships/hyperlink" Target="https://utei.imembrillos.gob.mx/8_VI_j.html" TargetMode="External"/><Relationship Id="rId5" Type="http://schemas.openxmlformats.org/officeDocument/2006/relationships/numbering" Target="numbering.xml"/><Relationship Id="rId19" Type="http://schemas.openxmlformats.org/officeDocument/2006/relationships/hyperlink" Target="https://utei.imembrillos.gob.mx/8_VI_j.html" TargetMode="External"/><Relationship Id="rId6" Type="http://schemas.openxmlformats.org/officeDocument/2006/relationships/styles" Target="styles.xml"/><Relationship Id="rId18" Type="http://schemas.openxmlformats.org/officeDocument/2006/relationships/hyperlink" Target="https://utei.imembrillos.gob.mx/8_VI_j.html" TargetMode="External"/><Relationship Id="rId7" Type="http://schemas.openxmlformats.org/officeDocument/2006/relationships/customXml" Target="../customXML/item1.xml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J/eZTM3KQw21o7dn4RMM1fPsyw==">CgMxLjAyDmguMXNoeW1zMmFtN2h5Mg5oLnBzNjZzb2JpOWY4bDIOaC5kdDVta2c4aWtuajk4AHIhMUJ6TVZqNmpYcjU4c2pPNjZSakl5SmZjRGJHcndxbmh1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EC879AE57C39493F8992823A051DD9EB_13</vt:lpwstr>
  </property>
</Properties>
</file>