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54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417320" cy="750898"/>
            <wp:effectExtent b="0" l="0" r="0" t="0"/>
            <wp:docPr id="187091079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7508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1905317</wp:posOffset>
            </wp:positionH>
            <wp:positionV relativeFrom="paragraph">
              <wp:posOffset>-833118</wp:posOffset>
            </wp:positionV>
            <wp:extent cx="1801495" cy="1799590"/>
            <wp:effectExtent b="0" l="0" r="0" t="0"/>
            <wp:wrapNone/>
            <wp:docPr id="187091079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1495" cy="17995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color="549e39" w:space="6" w:sz="6" w:val="single"/>
          <w:left w:space="0" w:sz="0" w:val="nil"/>
          <w:bottom w:color="549e39" w:space="6" w:sz="6" w:val="single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72"/>
          <w:szCs w:val="72"/>
          <w:u w:val="none"/>
          <w:shd w:fill="auto" w:val="clear"/>
          <w:vertAlign w:val="baseline"/>
          <w:rtl w:val="0"/>
        </w:rPr>
        <w:t xml:space="preserve">INFORME TRIMESTRAL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Comisión Edilicia De Asuntos Internacionales, Turismo y Promoción Económica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758952" cy="478932"/>
            <wp:effectExtent b="0" l="0" r="0" t="0"/>
            <wp:docPr id="187091079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8952" cy="4789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INTEGRANTES DE LA COMISIÓN EDILICIA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JOSE RODRIGO GARCIA ZARAGOZA (REGIDOR PRESIDENTE DE LA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COMISIÓN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DAVID ALEJANDRO MARTINEZ ASCENCIO (REGIDOR VOCAL DE LA COMISIÓN)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MARAYM YOTZABEL GONZALEZ BERNARDO (REGIDORA VOCAL DE LA COMISIÓN)</w:t>
      </w:r>
    </w:p>
    <w:p w:rsidR="00000000" w:rsidDel="00000000" w:rsidP="00000000" w:rsidRDefault="00000000" w:rsidRPr="00000000" w14:paraId="0000000A">
      <w:pPr>
        <w:spacing w:line="240" w:lineRule="auto"/>
        <w:rPr>
          <w:color w:val="00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rPr>
          <w:color w:val="000000"/>
        </w:rPr>
      </w:pPr>
      <w:bookmarkStart w:colFirst="0" w:colLast="0" w:name="_heading=h.1shyms2am7hy" w:id="0"/>
      <w:bookmarkEnd w:id="0"/>
      <w:r w:rsidDel="00000000" w:rsidR="00000000" w:rsidRPr="00000000">
        <w:rPr>
          <w:color w:val="000000"/>
          <w:rtl w:val="0"/>
        </w:rPr>
        <w:t xml:space="preserve">Introducción.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Asuntos Internacionales, Turismo y Promoción Económica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 este Ayuntamiento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en el tercer trimestre del año de la administración 2024-2027, al cual corresponden los siguientes meses: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Octubre año 2025,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Noviembre año 2025,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Diciembre año 2025,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Asuntos Internacionales, Turismo y Promoción Económica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 Presidida por el regidor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José Rodrigo García Zaragoza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3">
      <w:pPr>
        <w:pStyle w:val="Heading1"/>
        <w:rPr/>
      </w:pPr>
      <w:bookmarkStart w:colFirst="0" w:colLast="0" w:name="_heading=h.ps66sobi9f8l" w:id="1"/>
      <w:bookmarkEnd w:id="1"/>
      <w:r w:rsidDel="00000000" w:rsidR="00000000" w:rsidRPr="00000000">
        <w:rPr>
          <w:rtl w:val="0"/>
        </w:rPr>
        <w:t xml:space="preserve">Integrantes de la Comisión Edilicia.</w:t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/>
        <w:drawing>
          <wp:inline distB="0" distT="0" distL="0" distR="0">
            <wp:extent cx="1164516" cy="1800000"/>
            <wp:effectExtent b="0" l="0" r="0" t="0"/>
            <wp:docPr id="1870910796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1"/>
                    <a:srcRect b="1392" l="19580" r="17870" t="34254"/>
                    <a:stretch>
                      <a:fillRect/>
                    </a:stretch>
                  </pic:blipFill>
                  <pic:spPr>
                    <a:xfrm>
                      <a:off x="0" y="0"/>
                      <a:ext cx="1164516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  <w:rtl w:val="0"/>
        </w:rPr>
        <w:t xml:space="preserve">Regidor José Rodrigo García Zaragoza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  <w:rtl w:val="0"/>
        </w:rPr>
        <w:t xml:space="preserve">Presidente de la Comisión.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283302" cy="1800000"/>
            <wp:effectExtent b="0" l="0" r="0" t="0"/>
            <wp:docPr id="187091079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2"/>
                    <a:srcRect b="3352" l="14728" r="19429" t="35176"/>
                    <a:stretch>
                      <a:fillRect/>
                    </a:stretch>
                  </pic:blipFill>
                  <pic:spPr>
                    <a:xfrm>
                      <a:off x="0" y="0"/>
                      <a:ext cx="1283302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  <w:rtl w:val="0"/>
        </w:rPr>
        <w:t xml:space="preserve">Regidor David Alejandro Martínez Ascencio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  <w:rtl w:val="0"/>
        </w:rPr>
        <w:t xml:space="preserve">Vocal de la Comisión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175445" cy="1800000"/>
            <wp:effectExtent b="0" l="0" r="0" t="0"/>
            <wp:docPr id="187091079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3"/>
                    <a:srcRect b="1622" l="21312" r="15098" t="33561"/>
                    <a:stretch>
                      <a:fillRect/>
                    </a:stretch>
                  </pic:blipFill>
                  <pic:spPr>
                    <a:xfrm>
                      <a:off x="0" y="0"/>
                      <a:ext cx="1175445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  <w:rtl w:val="0"/>
        </w:rPr>
        <w:t xml:space="preserve">Maraym Yotzabel Gonzalez ALvarez.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  <w:rtl w:val="0"/>
        </w:rPr>
        <w:t xml:space="preserve">Vocal de la Comisión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ind w:left="709" w:right="536" w:firstLine="0"/>
        <w:rPr>
          <w:color w:val="000000"/>
        </w:rPr>
      </w:pPr>
      <w:bookmarkStart w:colFirst="0" w:colLast="0" w:name="_heading=h.dt5mkg8iknj9" w:id="2"/>
      <w:bookmarkEnd w:id="2"/>
      <w:r w:rsidDel="00000000" w:rsidR="00000000" w:rsidRPr="00000000">
        <w:rPr>
          <w:color w:val="000000"/>
          <w:rtl w:val="0"/>
        </w:rPr>
        <w:t xml:space="preserve">Resultados.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 el tercer trimestre de la administración municipal 2024 - 2027,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Asuntos Internacionales, Turismo y Promoción Económica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Membrillos, las actividades principales han sido las siguientes: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Sesiones de la comisión edilicia.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Discusión y análisis de asuntos inherentes a la comisión edilicia.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Análisis de asuntos competencia de la comisión edilicia.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continuación, se detallan los asuntos más relevantes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Asuntos Internacionales, Turismo y Promoción Económica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Membrillos:</w:t>
      </w:r>
    </w:p>
    <w:p w:rsidR="00000000" w:rsidDel="00000000" w:rsidP="00000000" w:rsidRDefault="00000000" w:rsidRPr="00000000" w14:paraId="00000027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 continuación, se muestra el calendario con las sesiones que se han llevado a cabo, así como el hipervínculo donde puede consultar el acta respectiva.</w:t>
      </w:r>
    </w:p>
    <w:p w:rsidR="00000000" w:rsidDel="00000000" w:rsidP="00000000" w:rsidRDefault="00000000" w:rsidRPr="00000000" w14:paraId="00000028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2"/>
        <w:gridCol w:w="2977"/>
        <w:gridCol w:w="5289"/>
        <w:tblGridChange w:id="0">
          <w:tblGrid>
            <w:gridCol w:w="562"/>
            <w:gridCol w:w="2977"/>
            <w:gridCol w:w="528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Fecha de la Sesión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Hipervínculo al acta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Octubre – Oficio de conocimiento 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0"/>
                <w:bCs w:val="0"/>
                <w:color w:val="000000"/>
              </w:rPr>
            </w:pPr>
            <w:hyperlink r:id="rId14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https://utei.imembrillos.gob.mx/documentos/articulo_8/FRACCION%20VI/INCISO%20J/actas_comisiones2024_2027/2025/10/JUST.%20AI-TPE%2010%202025.pdf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Noviembre- Oficio de conocimiento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b w:val="0"/>
                <w:bCs w:val="0"/>
                <w:color w:val="000000"/>
              </w:rPr>
            </w:pPr>
            <w:hyperlink r:id="rId15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https://utei.imembrillos.gob.mx/documentos/articulo_8/FRACCION%20VI/INCISO%20J/actas_comisiones2024_2027/2025/11/Just.%20AI-TPE%2011%202025.pdf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12 de Diciembre de 2025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0"/>
                <w:bCs w:val="0"/>
                <w:color w:val="000000"/>
              </w:rPr>
            </w:pPr>
            <w:hyperlink r:id="rId16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https://utei.imembrillos.gob.mx/documentos/articulo_8/FRACCION%20VI/INCISO%20J/actas_comisiones2024_2027/2025/12/AITPE-ECFC%20Acta%2012%202025.pdf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5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Sin más por más por el momento.</w:t>
      </w:r>
    </w:p>
    <w:p w:rsidR="00000000" w:rsidDel="00000000" w:rsidP="00000000" w:rsidRDefault="00000000" w:rsidRPr="00000000" w14:paraId="00000037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JOSE RODRIGO GARCIA ZARAGOZA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REGIDOR PRESIDENTE DE LA COMISIÓN</w:t>
      </w:r>
    </w:p>
    <w:p w:rsidR="00000000" w:rsidDel="00000000" w:rsidP="00000000" w:rsidRDefault="00000000" w:rsidRPr="00000000" w14:paraId="0000003C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b w:val="0"/>
          <w:bCs w:val="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  <w:rtl w:val="0"/>
        </w:rPr>
        <w:t xml:space="preserve"> Ayuntamiento de Ixtlahuacán de los Membrillos, Jalisco.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78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4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0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49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b w:val="1"/>
        <w:bCs w:val="1"/>
        <w:color w:val="455f51"/>
        <w:sz w:val="28"/>
        <w:szCs w:val="28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color w:val="33473c"/>
      <w:sz w:val="52"/>
      <w:szCs w:val="5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200" w:line="240" w:lineRule="auto"/>
    </w:pPr>
    <w:rPr>
      <w:rFonts w:ascii="Calibri" w:cs="Calibri" w:eastAsia="Calibri" w:hAnsi="Calibri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Refdenotaalpie">
    <w:name w:val="footnote reference"/>
    <w:basedOn w:val="Fuentedeprrafopredeter"/>
    <w:uiPriority w:val="99"/>
    <w:semiHidden w:val="1"/>
    <w:unhideWhenUsed w:val="1"/>
    <w:qFormat w:val="1"/>
    <w:rPr>
      <w:vertAlign w:val="superscript"/>
    </w:rPr>
  </w:style>
  <w:style w:type="character" w:styleId="Hipervnculo">
    <w:name w:val="Hyperlink"/>
    <w:basedOn w:val="Fuentedeprrafopredeter"/>
    <w:uiPriority w:val="99"/>
    <w:unhideWhenUsed w:val="1"/>
    <w:qFormat w:val="1"/>
    <w:rPr>
      <w:color w:val="6b9f25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 w:val="1"/>
    <w:unhideWhenUsed w:val="1"/>
    <w:qFormat w:val="1"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 w:val="1"/>
    <w:uiPriority w:val="39"/>
    <w:unhideWhenUsed w:val="1"/>
    <w:qFormat w:val="1"/>
    <w:pPr>
      <w:spacing w:after="100"/>
    </w:pPr>
  </w:style>
  <w:style w:type="table" w:styleId="Tablaconcuadrcula">
    <w:name w:val="Table Grid"/>
    <w:basedOn w:val="Tablanormal"/>
    <w:uiPriority w:val="39"/>
    <w:qFormat w:val="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tulo1Car" w:customStyle="1">
    <w:name w:val="Título 1 Car"/>
    <w:basedOn w:val="Fuentedeprrafopredeter"/>
    <w:link w:val="Ttulo1"/>
    <w:uiPriority w:val="9"/>
    <w:qFormat w:val="1"/>
    <w:rPr>
      <w:rFonts w:asciiTheme="majorHAnsi" w:cstheme="majorBidi" w:eastAsiaTheme="majorEastAsia" w:hAnsiTheme="majorHAnsi"/>
      <w:b w:val="1"/>
      <w:color w:val="33473c" w:themeColor="text2" w:themeShade="0000BF"/>
      <w:kern w:val="28"/>
      <w:sz w:val="52"/>
      <w:szCs w:val="32"/>
      <w:lang w:val="es-ES"/>
    </w:rPr>
  </w:style>
  <w:style w:type="character" w:styleId="TtuloCar" w:customStyle="1">
    <w:name w:val="Título Car"/>
    <w:basedOn w:val="Fuentedeprrafopredeter"/>
    <w:link w:val="Ttulo"/>
    <w:uiPriority w:val="1"/>
    <w:qFormat w:val="1"/>
    <w:rPr>
      <w:rFonts w:asciiTheme="majorHAnsi" w:cstheme="majorBidi" w:eastAsiaTheme="majorEastAsia" w:hAnsiTheme="majorHAnsi"/>
      <w:b w:val="1"/>
      <w:bCs w:val="1"/>
      <w:color w:val="455f51" w:themeColor="text2"/>
      <w:sz w:val="72"/>
      <w:szCs w:val="52"/>
      <w:lang w:val="es-ES"/>
    </w:rPr>
  </w:style>
  <w:style w:type="character" w:styleId="SubttuloCar" w:customStyle="1">
    <w:name w:val="Subtítulo Car"/>
    <w:basedOn w:val="Fuentedeprrafopredeter"/>
    <w:link w:val="Subttulo"/>
    <w:uiPriority w:val="2"/>
    <w:qFormat w:val="1"/>
    <w:rPr>
      <w:rFonts w:eastAsiaTheme="minorEastAsia"/>
      <w:caps w:val="1"/>
      <w:color w:val="455f51" w:themeColor="text2"/>
      <w:spacing w:val="20"/>
      <w:sz w:val="32"/>
      <w:lang w:val="es-ES"/>
    </w:rPr>
  </w:style>
  <w:style w:type="paragraph" w:styleId="Contenido" w:customStyle="1">
    <w:name w:val="Contenido"/>
    <w:basedOn w:val="Normal"/>
    <w:link w:val="Carcterdecontenido"/>
    <w:qFormat w:val="1"/>
    <w:rPr>
      <w:b w:val="0"/>
    </w:rPr>
  </w:style>
  <w:style w:type="character" w:styleId="Carcterdecontenido" w:customStyle="1">
    <w:name w:val="Carácter de contenido"/>
    <w:basedOn w:val="Fuentedeprrafopredeter"/>
    <w:link w:val="Contenido"/>
    <w:qFormat w:val="1"/>
    <w:rPr>
      <w:rFonts w:eastAsiaTheme="minorEastAsia"/>
      <w:color w:val="455f51" w:themeColor="text2"/>
      <w:sz w:val="28"/>
      <w:lang w:val="es-ES"/>
    </w:rPr>
  </w:style>
  <w:style w:type="character" w:styleId="TextonotapieCar" w:customStyle="1">
    <w:name w:val="Texto nota pie Car"/>
    <w:basedOn w:val="Fuentedeprrafopredeter"/>
    <w:link w:val="Textonotapie"/>
    <w:uiPriority w:val="99"/>
    <w:semiHidden w:val="1"/>
    <w:qFormat w:val="1"/>
    <w:rPr>
      <w:rFonts w:eastAsiaTheme="minorEastAsia"/>
      <w:b w:val="1"/>
      <w:color w:val="455f51" w:themeColor="text2"/>
      <w:sz w:val="20"/>
      <w:szCs w:val="20"/>
      <w:lang w:val="es-ES"/>
    </w:rPr>
  </w:style>
  <w:style w:type="character" w:styleId="normaltextrun" w:customStyle="1">
    <w:name w:val="normaltextrun"/>
    <w:basedOn w:val="Fuentedeprrafopredeter"/>
    <w:qFormat w:val="1"/>
  </w:style>
  <w:style w:type="paragraph" w:styleId="TtuloTDC1" w:customStyle="1">
    <w:name w:val="Título TDC1"/>
    <w:basedOn w:val="Ttulo1"/>
    <w:next w:val="Normal"/>
    <w:uiPriority w:val="39"/>
    <w:unhideWhenUsed w:val="1"/>
    <w:qFormat w:val="1"/>
    <w:pPr>
      <w:keepLines w:val="1"/>
      <w:spacing w:after="0" w:line="259" w:lineRule="auto"/>
      <w:outlineLvl w:val="9"/>
    </w:pPr>
    <w:rPr>
      <w:b w:val="0"/>
      <w:color w:val="3e762a" w:themeColor="accent1" w:themeShade="0000BF"/>
      <w:kern w:val="0"/>
      <w:sz w:val="32"/>
      <w:lang w:val="en-US"/>
    </w:rPr>
  </w:style>
  <w:style w:type="paragraph" w:styleId="Bibliografa1" w:customStyle="1">
    <w:name w:val="Bibliografía1"/>
    <w:basedOn w:val="Normal"/>
    <w:next w:val="Normal"/>
    <w:uiPriority w:val="37"/>
    <w:unhideWhenUsed w:val="1"/>
    <w:qFormat w:val="1"/>
  </w:style>
  <w:style w:type="character" w:styleId="eop" w:customStyle="1">
    <w:name w:val="eop"/>
    <w:basedOn w:val="Fuentedeprrafopredeter"/>
    <w:qFormat w:val="1"/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Sinespaciado">
    <w:name w:val="No Spacing"/>
    <w:link w:val="SinespaciadoCar"/>
    <w:uiPriority w:val="1"/>
    <w:qFormat w:val="1"/>
    <w:rsid w:val="00A3598F"/>
    <w:rPr>
      <w:rFonts w:asciiTheme="minorHAnsi" w:cstheme="minorBidi" w:eastAsiaTheme="minorEastAsia" w:hAnsiTheme="minorHAnsi"/>
      <w:sz w:val="22"/>
      <w:szCs w:val="22"/>
    </w:rPr>
  </w:style>
  <w:style w:type="character" w:styleId="SinespaciadoCar" w:customStyle="1">
    <w:name w:val="Sin espaciado Car"/>
    <w:basedOn w:val="Fuentedeprrafopredeter"/>
    <w:link w:val="Sinespaciado"/>
    <w:uiPriority w:val="1"/>
    <w:rsid w:val="00A3598F"/>
    <w:rPr>
      <w:rFonts w:asciiTheme="minorHAnsi" w:cstheme="minorBidi" w:eastAsiaTheme="minorEastAsia" w:hAnsiTheme="minorHAns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C3790B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b w:val="0"/>
      <w:bCs w:val="0"/>
      <w:smallCaps w:val="1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jpg"/><Relationship Id="rId10" Type="http://schemas.openxmlformats.org/officeDocument/2006/relationships/image" Target="media/image5.png"/><Relationship Id="rId13" Type="http://schemas.openxmlformats.org/officeDocument/2006/relationships/image" Target="media/image1.jpg"/><Relationship Id="rId12" Type="http://schemas.openxmlformats.org/officeDocument/2006/relationships/image" Target="media/image6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5" Type="http://schemas.openxmlformats.org/officeDocument/2006/relationships/hyperlink" Target="https://utei.imembrillos.gob.mx/documentos/articulo_8/FRACCION%20VI/INCISO%20J/actas_comisiones2024_2027/2025/11/Just.%20AI-TPE%2011%202025.pdf" TargetMode="External"/><Relationship Id="rId14" Type="http://schemas.openxmlformats.org/officeDocument/2006/relationships/hyperlink" Target="https://utei.imembrillos.gob.mx/documentos/articulo_8/FRACCION%20VI/INCISO%20J/actas_comisiones2024_2027/2025/10/JUST.%20AI-TPE%2010%202025.pdf" TargetMode="External"/><Relationship Id="rId16" Type="http://schemas.openxmlformats.org/officeDocument/2006/relationships/hyperlink" Target="https://utei.imembrillos.gob.mx/documentos/articulo_8/FRACCION%20VI/INCISO%20J/actas_comisiones2024_2027/2025/12/AITPE-ECFC%20Acta%2012%202025.pdf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z/aTPQTnWeiLv3SllKhOf/R6eA==">CgMxLjAyDmguMXNoeW1zMmFtN2h5Mg5oLnBzNjZzb2JpOWY4bDIOaC5kdDVta2c4aWtuajk4AHIhMWdEMHdyWjRSSFpIdEhicDhkaEliRjdRTlViaEZTckRV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2026-02-20T19:27:00Z</dcterms:created>
  <dc:creator>Cesar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EC879AE57C39493F8992823A051DD9EB_13</vt:lpwstr>
  </property>
</Properties>
</file>