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b w:val="0"/>
          <w:bCs w:val="0"/>
          <w:color w:val="000000"/>
        </w:rPr>
      </w:pPr>
      <w:r w:rsidDel="00000000" w:rsidR="00000000" w:rsidRPr="00000000">
        <w:rPr/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1161098</wp:posOffset>
                </wp:positionH>
                <wp:positionV relativeFrom="page">
                  <wp:posOffset>8414068</wp:posOffset>
                </wp:positionV>
                <wp:extent cx="5762625" cy="1028700"/>
                <wp:effectExtent b="0" l="0" r="0" t="0"/>
                <wp:wrapSquare wrapText="bothSides" distB="0" distT="0" distL="114300" distR="114300"/>
                <wp:docPr id="117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2469450" y="3270413"/>
                          <a:ext cx="5753100" cy="1019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righ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1"/>
                                <w:strike w:val="0"/>
                                <w:color w:val="262626"/>
                                <w:sz w:val="28"/>
                                <w:vertAlign w:val="baseline"/>
                              </w:rPr>
                              <w:t xml:space="preserve">REGIDORES INTEGRANTES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righ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1"/>
                                <w:strike w:val="0"/>
                                <w:color w:val="262626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NAYELI BERENICE MERCADO FLORES (REGIDORA PRESIDENTA DE LA COMISIÓN)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righ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ADELAIDA ROSALES MENDOZA (REGIDORA VOCAL DE LA COMISIÓN)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righ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MARAYM YOTZABEL GONZALEZ ALVAREZ (REGIDORA VOCAL DE LA COMISIÓN)</w:t>
                            </w:r>
                          </w:p>
                        </w:txbxContent>
                      </wps:txbx>
                      <wps:bodyPr anchorCtr="0" anchor="b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1161098</wp:posOffset>
                </wp:positionH>
                <wp:positionV relativeFrom="page">
                  <wp:posOffset>8414068</wp:posOffset>
                </wp:positionV>
                <wp:extent cx="5762625" cy="1028700"/>
                <wp:effectExtent b="0" l="0" r="0" t="0"/>
                <wp:wrapSquare wrapText="bothSides" distB="0" distT="0" distL="114300" distR="114300"/>
                <wp:docPr id="117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62625" cy="1028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1161098</wp:posOffset>
                </wp:positionH>
                <wp:positionV relativeFrom="page">
                  <wp:posOffset>4571683</wp:posOffset>
                </wp:positionV>
                <wp:extent cx="5762625" cy="535305"/>
                <wp:effectExtent b="0" l="0" r="0" t="0"/>
                <wp:wrapSquare wrapText="bothSides" distB="0" distT="0" distL="114300" distR="114300"/>
                <wp:docPr id="116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469450" y="3517110"/>
                          <a:ext cx="5753100" cy="525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righ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1"/>
                                <w:strike w:val="0"/>
                                <w:color w:val="33473c"/>
                                <w:sz w:val="52"/>
                                <w:vertAlign w:val="baseline"/>
                              </w:rPr>
                              <w:t xml:space="preserve">INFORME SEMESTRAL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righ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1"/>
                                <w:strike w:val="0"/>
                                <w:color w:val="33473c"/>
                                <w:sz w:val="5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1"/>
                                <w:strike w:val="0"/>
                                <w:color w:val="455f51"/>
                                <w:sz w:val="36"/>
                                <w:vertAlign w:val="baseline"/>
                              </w:rPr>
                              <w:t xml:space="preserve">Comisión Edilicia de Derechos Humanos e Igualdad de Genero</w:t>
                            </w:r>
                          </w:p>
                        </w:txbxContent>
                      </wps:txbx>
                      <wps:bodyPr anchorCtr="0" anchor="b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1161098</wp:posOffset>
                </wp:positionH>
                <wp:positionV relativeFrom="page">
                  <wp:posOffset>4571683</wp:posOffset>
                </wp:positionV>
                <wp:extent cx="5762625" cy="535305"/>
                <wp:effectExtent b="0" l="0" r="0" t="0"/>
                <wp:wrapSquare wrapText="bothSides" distB="0" distT="0" distL="114300" distR="114300"/>
                <wp:docPr id="116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62625" cy="5353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349250</wp:posOffset>
                </wp:positionH>
                <wp:positionV relativeFrom="page">
                  <wp:align>center</wp:align>
                </wp:positionV>
                <wp:extent cx="228600" cy="9144000"/>
                <wp:effectExtent b="0" l="0" r="0" t="0"/>
                <wp:wrapNone/>
                <wp:docPr id="11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231700" y="0"/>
                          <a:ext cx="228600" cy="9144000"/>
                          <a:chOff x="5231700" y="0"/>
                          <a:chExt cx="228600" cy="7560000"/>
                        </a:xfrm>
                      </wpg:grpSpPr>
                      <wpg:grpSp>
                        <wpg:cNvGrpSpPr/>
                        <wpg:grpSpPr>
                          <a:xfrm>
                            <a:off x="5231700" y="0"/>
                            <a:ext cx="228600" cy="7560000"/>
                            <a:chOff x="0" y="0"/>
                            <a:chExt cx="228600" cy="914400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228600" cy="9144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228600" cy="8782050"/>
                            </a:xfrm>
                            <a:prstGeom prst="rect">
                              <a:avLst/>
                            </a:pr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0" y="8915400"/>
                              <a:ext cx="228600" cy="228600"/>
                            </a:xfrm>
                            <a:prstGeom prst="rect">
                              <a:avLst/>
                            </a:pr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349250</wp:posOffset>
                </wp:positionH>
                <wp:positionV relativeFrom="page">
                  <wp:align>center</wp:align>
                </wp:positionV>
                <wp:extent cx="228600" cy="9144000"/>
                <wp:effectExtent b="0" l="0" r="0" t="0"/>
                <wp:wrapNone/>
                <wp:docPr id="115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8600" cy="9144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rPr>
          <w:color w:val="000000"/>
        </w:rPr>
      </w:pPr>
      <w:bookmarkStart w:colFirst="0" w:colLast="0" w:name="_heading=h.hjn4bht5zc25" w:id="0"/>
      <w:bookmarkEnd w:id="0"/>
      <w:r w:rsidDel="00000000" w:rsidR="00000000" w:rsidRPr="00000000">
        <w:rPr>
          <w:color w:val="000000"/>
          <w:rtl w:val="0"/>
        </w:rPr>
        <w:t xml:space="preserve">Introducción.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El presente documento tiene como propósito informar a la población del municipio de Ixtlahuacán de los Membrillos, Jalisco, México, las actividades principales realizadas por 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Derechos Humanos e Igualdad de Genero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 este Ayuntamiento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</w:rPr>
        <w:footnoteReference w:customMarkFollows="0" w:id="0"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en el segundo semestre del año de la administración 2024-2027, al cual corresponden los siguientes meses: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Abril año 2025,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Mayo año 2025,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Junio año 2025,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Julio año 2025,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Agosto año 2025,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Septiembre año 2025.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Derechos Humanos e Igualdad de Genero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 Presidida por la regidora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Nayeli Berenice Mercado Flores </w:t>
      </w:r>
    </w:p>
    <w:p w:rsidR="00000000" w:rsidDel="00000000" w:rsidP="00000000" w:rsidRDefault="00000000" w:rsidRPr="00000000" w14:paraId="0000000E">
      <w:pPr>
        <w:pStyle w:val="Heading1"/>
        <w:jc w:val="center"/>
        <w:rPr>
          <w:color w:val="000000"/>
        </w:rPr>
      </w:pPr>
      <w:bookmarkStart w:colFirst="0" w:colLast="0" w:name="_heading=h.lh06qw75d6qc" w:id="1"/>
      <w:bookmarkEnd w:id="1"/>
      <w:r w:rsidDel="00000000" w:rsidR="00000000" w:rsidRPr="00000000">
        <w:rPr>
          <w:color w:val="000000"/>
          <w:rtl w:val="0"/>
        </w:rPr>
        <w:t xml:space="preserve">Integrantes de la Comisión Edilicia.</w:t>
      </w:r>
    </w:p>
    <w:p w:rsidR="00000000" w:rsidDel="00000000" w:rsidP="00000000" w:rsidRDefault="00000000" w:rsidRPr="00000000" w14:paraId="0000000F">
      <w:pPr>
        <w:jc w:val="center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SimSun" w:cs="SimSun" w:eastAsia="SimSun" w:hAnsi="SimSu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SimSun" w:cs="SimSun" w:eastAsia="SimSun" w:hAnsi="SimSu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0" distT="0" distL="114300" distR="114300">
            <wp:extent cx="1719580" cy="1814830"/>
            <wp:effectExtent b="0" l="0" r="0" t="0"/>
            <wp:docPr descr="IMG_256" id="118" name="image3.jpg"/>
            <a:graphic>
              <a:graphicData uri="http://schemas.openxmlformats.org/drawingml/2006/picture">
                <pic:pic>
                  <pic:nvPicPr>
                    <pic:cNvPr descr="IMG_256" id="0" name="image3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18148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Regidora Nayeli Berenice Mercado Flores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Presidenta de la Comisión.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SimSun" w:cs="SimSun" w:eastAsia="SimSun" w:hAnsi="SimSu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0" distT="0" distL="114300" distR="114300">
            <wp:extent cx="1764030" cy="1800860"/>
            <wp:effectExtent b="0" l="0" r="0" t="0"/>
            <wp:docPr descr="IMG_256" id="120" name="image2.jpg"/>
            <a:graphic>
              <a:graphicData uri="http://schemas.openxmlformats.org/drawingml/2006/picture">
                <pic:pic>
                  <pic:nvPicPr>
                    <pic:cNvPr descr="IMG_256" id="0" name="image2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64030" cy="18008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Regidora Adelaida Rosales Mendoza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Vocal de la Comisión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SimSun" w:cs="SimSun" w:eastAsia="SimSun" w:hAnsi="SimSu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0" distT="0" distL="114300" distR="114300">
            <wp:extent cx="1504950" cy="1974850"/>
            <wp:effectExtent b="0" l="0" r="0" t="0"/>
            <wp:docPr descr="IMG_256" id="119" name="image1.jpg"/>
            <a:graphic>
              <a:graphicData uri="http://schemas.openxmlformats.org/drawingml/2006/picture">
                <pic:pic>
                  <pic:nvPicPr>
                    <pic:cNvPr descr="IMG_256" id="0" name="image1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9748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Regidora Maraym Yotzabel Gonzalez Alvarez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Vocal de la Comisión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1"/>
        <w:ind w:left="709" w:right="536" w:firstLine="0"/>
        <w:rPr>
          <w:color w:val="000000"/>
        </w:rPr>
      </w:pPr>
      <w:bookmarkStart w:colFirst="0" w:colLast="0" w:name="_heading=h.59f8xeal7khp" w:id="2"/>
      <w:bookmarkEnd w:id="2"/>
      <w:r w:rsidDel="00000000" w:rsidR="00000000" w:rsidRPr="00000000">
        <w:rPr>
          <w:color w:val="000000"/>
          <w:rtl w:val="0"/>
        </w:rPr>
        <w:t xml:space="preserve">Resultados.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En el segundo semestre de la administración municipal 2024 - 2027, 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Derechos Humanos e Igualdad de Genero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del Ayuntamiento de Ixtlahuacán de los Membrillos, las actividades principales han sido las siguientes: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1789" w:right="536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Sesiones de la comisión edilicia.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1789" w:right="536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Discusión y análisis de asuntos inherentes a la comisión edilicia.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1789" w:right="536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Análisis de asuntos competencia de la comisión edilicia.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 continuación se detallan los asuntos más relevantes por 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Derechos Humanos e Igualdad de Genero del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Ayuntamiento de Ixtlahuacán de los Membrillos: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A continuación, se muestra el calendario con las sesiones que se han llevado a cabo, así como el hipervínculo donde puede consultar el acta respectiva.</w:t>
      </w:r>
    </w:p>
    <w:p w:rsidR="00000000" w:rsidDel="00000000" w:rsidP="00000000" w:rsidRDefault="00000000" w:rsidRPr="00000000" w14:paraId="00000026">
      <w:pPr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 </w:t>
      </w:r>
    </w:p>
    <w:tbl>
      <w:tblPr>
        <w:tblStyle w:val="Table1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2"/>
        <w:gridCol w:w="2977"/>
        <w:gridCol w:w="5289"/>
        <w:tblGridChange w:id="0">
          <w:tblGrid>
            <w:gridCol w:w="562"/>
            <w:gridCol w:w="2977"/>
            <w:gridCol w:w="528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Fecha de la Sesión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Hipervínculo al acta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Abril- Oficio de conocimiento 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0"/>
                <w:bCs w:val="0"/>
                <w:color w:val="000000"/>
              </w:rPr>
            </w:pPr>
            <w:hyperlink r:id="rId12">
              <w:r w:rsidDel="00000000" w:rsidR="00000000" w:rsidRPr="00000000">
                <w:rPr>
                  <w:b w:val="0"/>
                  <w:bCs w:val="0"/>
                  <w:color w:val="ee7b08"/>
                  <w:u w:val="single"/>
                  <w:rtl w:val="0"/>
                </w:rPr>
                <w:t xml:space="preserve">https://utei.imembrillos.gob.mx/documentos/articulo_8/FRACCION%20VI/INCISO%20J/actas_comisiones2024_2027/2025/04/oficio_DHIG.pdf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Mayo- Oficio de conocimiento</w:t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b w:val="0"/>
                <w:bCs w:val="0"/>
                <w:color w:val="000000"/>
              </w:rPr>
            </w:pPr>
            <w:hyperlink r:id="rId13">
              <w:r w:rsidDel="00000000" w:rsidR="00000000" w:rsidRPr="00000000">
                <w:rPr>
                  <w:b w:val="0"/>
                  <w:bCs w:val="0"/>
                  <w:color w:val="ee7b08"/>
                  <w:u w:val="single"/>
                  <w:rtl w:val="0"/>
                </w:rPr>
                <w:t xml:space="preserve">https://utei.imembrillos.gob.mx/documentos/articulo_8/FRACCION%20VI/INCISO%20J/actas_comisiones2024_2027/2025/05/oficio_DHIG.pdf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Acta 05 de Junio año 2025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0"/>
                <w:bCs w:val="0"/>
                <w:color w:val="000000"/>
              </w:rPr>
            </w:pPr>
            <w:hyperlink r:id="rId14">
              <w:r w:rsidDel="00000000" w:rsidR="00000000" w:rsidRPr="00000000">
                <w:rPr>
                  <w:b w:val="0"/>
                  <w:bCs w:val="0"/>
                  <w:color w:val="ee7b08"/>
                  <w:u w:val="single"/>
                  <w:rtl w:val="0"/>
                </w:rPr>
                <w:t xml:space="preserve">https://utei.imembrillos.gob.mx/documentos/articulo_8/FRACCION%20VI/INCISO%20J/actas_comisiones2024_2027/2025/06/DH-IG-PCIU%2006%202025%20Acta.pdf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Acta 30 de Julio año 2025</w:t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b w:val="0"/>
                <w:bCs w:val="0"/>
                <w:color w:val="000000"/>
              </w:rPr>
            </w:pPr>
            <w:hyperlink r:id="rId15">
              <w:r w:rsidDel="00000000" w:rsidR="00000000" w:rsidRPr="00000000">
                <w:rPr>
                  <w:b w:val="0"/>
                  <w:bCs w:val="0"/>
                  <w:color w:val="ee7b08"/>
                  <w:u w:val="single"/>
                  <w:rtl w:val="0"/>
                </w:rPr>
                <w:t xml:space="preserve">https://utei.imembrillos.gob.mx/documentos/articulo_8/FRACCION%20VI/INCISO%20J/actas_comisiones2024_2027/2025/07/DH-IG-%20%20TPD%20Acta%2007%202025.pdf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Acta 27 de Agosto año 2025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b w:val="0"/>
                <w:bCs w:val="0"/>
                <w:color w:val="000000"/>
              </w:rPr>
            </w:pPr>
            <w:hyperlink r:id="rId16">
              <w:r w:rsidDel="00000000" w:rsidR="00000000" w:rsidRPr="00000000">
                <w:rPr>
                  <w:b w:val="0"/>
                  <w:bCs w:val="0"/>
                  <w:color w:val="ee7b08"/>
                  <w:u w:val="single"/>
                  <w:rtl w:val="0"/>
                </w:rPr>
                <w:t xml:space="preserve">https://utei.imembrillos.gob.mx/documentos/articulo_8/FRACCION%20VI/INCISO%20J/actas_comisiones2024_2027/2025/08/DH-IG%20Acta%2008%202025.pdf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Acta 30 Septiembre 2025</w:t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b w:val="0"/>
                <w:bCs w:val="0"/>
                <w:color w:val="000000"/>
              </w:rPr>
            </w:pPr>
            <w:hyperlink r:id="rId17">
              <w:r w:rsidDel="00000000" w:rsidR="00000000" w:rsidRPr="00000000">
                <w:rPr>
                  <w:b w:val="0"/>
                  <w:bCs w:val="0"/>
                  <w:color w:val="ee7b08"/>
                  <w:u w:val="single"/>
                  <w:rtl w:val="0"/>
                </w:rPr>
                <w:t xml:space="preserve">https://utei.imembrillos.gob.mx/documentos/articulo_8/FRACCION%20VI/INCISO%20J/actas_comisiones2024_2027/2025/09/DH-IG%20Acta%2009%202025.pdf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C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Sin más por el momento.</w:t>
      </w:r>
    </w:p>
    <w:p w:rsidR="00000000" w:rsidDel="00000000" w:rsidP="00000000" w:rsidRDefault="00000000" w:rsidRPr="00000000" w14:paraId="0000003E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center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NAYELI BERENICE MERCADO FLORES</w:t>
      </w:r>
    </w:p>
    <w:p w:rsidR="00000000" w:rsidDel="00000000" w:rsidP="00000000" w:rsidRDefault="00000000" w:rsidRPr="00000000" w14:paraId="00000041">
      <w:pPr>
        <w:jc w:val="center"/>
        <w:rPr>
          <w:b w:val="0"/>
          <w:bCs w:val="0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REGIDORA PRESIDENTA DE LA COMISIÓN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center"/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SimSun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455f51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455f51"/>
          <w:sz w:val="20"/>
          <w:szCs w:val="20"/>
          <w:u w:val="none"/>
          <w:shd w:fill="auto" w:val="clear"/>
          <w:vertAlign w:val="baseline"/>
          <w:rtl w:val="0"/>
        </w:rPr>
        <w:t xml:space="preserve"> Ayuntamiento de Ixtlahuacán de los Membrillos, Jalisco.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1789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229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949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389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109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549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b w:val="1"/>
        <w:bCs w:val="1"/>
        <w:color w:val="455f51"/>
        <w:sz w:val="28"/>
        <w:szCs w:val="28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libri" w:cs="Calibri" w:eastAsia="Calibri" w:hAnsi="Calibri"/>
      <w:color w:val="33473c"/>
      <w:sz w:val="52"/>
      <w:szCs w:val="5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200" w:line="240" w:lineRule="auto"/>
    </w:pPr>
    <w:rPr>
      <w:rFonts w:ascii="Calibri" w:cs="Calibri" w:eastAsia="Calibri" w:hAnsi="Calibri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Refdenotaalpie">
    <w:name w:val="footnote reference"/>
    <w:basedOn w:val="Fuentedeprrafopredeter"/>
    <w:uiPriority w:val="99"/>
    <w:semiHidden w:val="1"/>
    <w:unhideWhenUsed w:val="1"/>
    <w:qFormat w:val="1"/>
    <w:rPr>
      <w:vertAlign w:val="superscript"/>
    </w:rPr>
  </w:style>
  <w:style w:type="character" w:styleId="Hipervnculo">
    <w:name w:val="Hyperlink"/>
    <w:basedOn w:val="Fuentedeprrafopredeter"/>
    <w:uiPriority w:val="99"/>
    <w:unhideWhenUsed w:val="1"/>
    <w:qFormat w:val="1"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 w:val="1"/>
    <w:unhideWhenUsed w:val="1"/>
    <w:qFormat w:val="1"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 w:val="1"/>
    <w:uiPriority w:val="39"/>
    <w:unhideWhenUsed w:val="1"/>
    <w:qFormat w:val="1"/>
    <w:pPr>
      <w:spacing w:after="100"/>
    </w:pPr>
  </w:style>
  <w:style w:type="table" w:styleId="Tablaconcuadrcula">
    <w:name w:val="Table Grid"/>
    <w:basedOn w:val="Tablanormal"/>
    <w:uiPriority w:val="39"/>
    <w:qFormat w:val="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tulo1Car" w:customStyle="1">
    <w:name w:val="Título 1 Car"/>
    <w:basedOn w:val="Fuentedeprrafopredeter"/>
    <w:link w:val="Ttulo1"/>
    <w:uiPriority w:val="9"/>
    <w:rPr>
      <w:rFonts w:asciiTheme="majorHAnsi" w:cstheme="majorBidi" w:eastAsiaTheme="majorEastAsia" w:hAnsiTheme="majorHAnsi"/>
      <w:b w:val="1"/>
      <w:color w:val="33473c" w:themeColor="text2" w:themeShade="0000BF"/>
      <w:kern w:val="28"/>
      <w:sz w:val="52"/>
      <w:szCs w:val="32"/>
      <w:lang w:val="es-ES"/>
    </w:rPr>
  </w:style>
  <w:style w:type="character" w:styleId="TtuloCar" w:customStyle="1">
    <w:name w:val="Título Car"/>
    <w:basedOn w:val="Fuentedeprrafopredeter"/>
    <w:link w:val="Ttulo"/>
    <w:uiPriority w:val="1"/>
    <w:rPr>
      <w:rFonts w:asciiTheme="majorHAnsi" w:cstheme="majorBidi" w:eastAsiaTheme="majorEastAsia" w:hAnsiTheme="majorHAnsi"/>
      <w:b w:val="1"/>
      <w:bCs w:val="1"/>
      <w:color w:val="455f51" w:themeColor="text2"/>
      <w:sz w:val="72"/>
      <w:szCs w:val="52"/>
      <w:lang w:val="es-ES"/>
    </w:rPr>
  </w:style>
  <w:style w:type="character" w:styleId="SubttuloCar" w:customStyle="1">
    <w:name w:val="Subtítulo Car"/>
    <w:basedOn w:val="Fuentedeprrafopredeter"/>
    <w:link w:val="Subttulo"/>
    <w:uiPriority w:val="2"/>
    <w:qFormat w:val="1"/>
    <w:rPr>
      <w:rFonts w:eastAsiaTheme="minorEastAsia"/>
      <w:caps w:val="1"/>
      <w:color w:val="455f51" w:themeColor="text2"/>
      <w:spacing w:val="20"/>
      <w:sz w:val="32"/>
      <w:lang w:val="es-ES"/>
    </w:rPr>
  </w:style>
  <w:style w:type="paragraph" w:styleId="Contenido" w:customStyle="1">
    <w:name w:val="Contenido"/>
    <w:basedOn w:val="Normal"/>
    <w:link w:val="Carcterdecontenido"/>
    <w:qFormat w:val="1"/>
    <w:rPr>
      <w:b w:val="0"/>
    </w:rPr>
  </w:style>
  <w:style w:type="character" w:styleId="Carcterdecontenido" w:customStyle="1">
    <w:name w:val="Carácter de contenido"/>
    <w:basedOn w:val="Fuentedeprrafopredeter"/>
    <w:link w:val="Contenido"/>
    <w:qFormat w:val="1"/>
    <w:rPr>
      <w:rFonts w:eastAsiaTheme="minorEastAsia"/>
      <w:color w:val="455f51" w:themeColor="text2"/>
      <w:sz w:val="28"/>
      <w:lang w:val="es-ES"/>
    </w:rPr>
  </w:style>
  <w:style w:type="character" w:styleId="TextonotapieCar" w:customStyle="1">
    <w:name w:val="Texto nota pie Car"/>
    <w:basedOn w:val="Fuentedeprrafopredeter"/>
    <w:link w:val="Textonotapie"/>
    <w:uiPriority w:val="99"/>
    <w:semiHidden w:val="1"/>
    <w:qFormat w:val="1"/>
    <w:rPr>
      <w:rFonts w:eastAsiaTheme="minorEastAsia"/>
      <w:b w:val="1"/>
      <w:color w:val="455f51" w:themeColor="text2"/>
      <w:sz w:val="20"/>
      <w:szCs w:val="20"/>
      <w:lang w:val="es-ES"/>
    </w:rPr>
  </w:style>
  <w:style w:type="character" w:styleId="normaltextrun" w:customStyle="1">
    <w:name w:val="normaltextrun"/>
    <w:basedOn w:val="Fuentedeprrafopredeter"/>
    <w:qFormat w:val="1"/>
  </w:style>
  <w:style w:type="paragraph" w:styleId="TtuloTDC1" w:customStyle="1">
    <w:name w:val="Título TDC1"/>
    <w:basedOn w:val="Ttulo1"/>
    <w:next w:val="Normal"/>
    <w:uiPriority w:val="39"/>
    <w:unhideWhenUsed w:val="1"/>
    <w:qFormat w:val="1"/>
    <w:pPr>
      <w:keepLines w:val="1"/>
      <w:spacing w:after="0" w:line="259" w:lineRule="auto"/>
      <w:outlineLvl w:val="9"/>
    </w:pPr>
    <w:rPr>
      <w:b w:val="0"/>
      <w:color w:val="729928" w:themeColor="accent1" w:themeShade="0000BF"/>
      <w:kern w:val="0"/>
      <w:sz w:val="32"/>
      <w:lang w:val="en-US"/>
    </w:rPr>
  </w:style>
  <w:style w:type="paragraph" w:styleId="Bibliografa1" w:customStyle="1">
    <w:name w:val="Bibliografía1"/>
    <w:basedOn w:val="Normal"/>
    <w:next w:val="Normal"/>
    <w:uiPriority w:val="37"/>
    <w:unhideWhenUsed w:val="1"/>
    <w:qFormat w:val="1"/>
  </w:style>
  <w:style w:type="character" w:styleId="eop" w:customStyle="1">
    <w:name w:val="eop"/>
    <w:basedOn w:val="Fuentedeprrafopredeter"/>
  </w:style>
  <w:style w:type="character" w:styleId="Mencinsinresolver1" w:customStyle="1">
    <w:name w:val="Mención sin resolver1"/>
    <w:basedOn w:val="Fuentedeprrafopredeter"/>
    <w:uiPriority w:val="99"/>
    <w:semiHidden w:val="1"/>
    <w:unhideWhenUsed w:val="1"/>
    <w:rPr>
      <w:color w:val="605e5c"/>
      <w:shd w:color="auto" w:fill="e1dfdd" w:val="clear"/>
    </w:rPr>
  </w:style>
  <w:style w:type="paragraph" w:styleId="Sinespaciado">
    <w:name w:val="No Spacing"/>
    <w:link w:val="SinespaciadoCar"/>
    <w:uiPriority w:val="1"/>
    <w:qFormat w:val="1"/>
    <w:rsid w:val="001B7940"/>
    <w:rPr>
      <w:rFonts w:asciiTheme="minorHAnsi" w:cstheme="minorBidi" w:eastAsiaTheme="minorEastAsia" w:hAnsiTheme="minorHAnsi"/>
      <w:sz w:val="22"/>
      <w:szCs w:val="22"/>
    </w:rPr>
  </w:style>
  <w:style w:type="character" w:styleId="SinespaciadoCar" w:customStyle="1">
    <w:name w:val="Sin espaciado Car"/>
    <w:basedOn w:val="Fuentedeprrafopredeter"/>
    <w:link w:val="Sinespaciado"/>
    <w:uiPriority w:val="1"/>
    <w:rsid w:val="001B7940"/>
    <w:rPr>
      <w:rFonts w:asciiTheme="minorHAnsi" w:cstheme="minorBidi" w:eastAsiaTheme="minorEastAsia" w:hAnsiTheme="minorHAns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 w:val="1"/>
    <w:unhideWhenUsed w:val="1"/>
    <w:rsid w:val="00EE23DA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/>
    <w:rPr>
      <w:b w:val="0"/>
      <w:bCs w:val="0"/>
      <w:smallCaps w:val="1"/>
      <w:sz w:val="32"/>
      <w:szCs w:val="32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.jpg"/><Relationship Id="rId10" Type="http://schemas.openxmlformats.org/officeDocument/2006/relationships/image" Target="media/image2.jpg"/><Relationship Id="rId13" Type="http://schemas.openxmlformats.org/officeDocument/2006/relationships/hyperlink" Target="https://utei.imembrillos.gob.mx/documentos/articulo_8/FRACCION%20VI/INCISO%20J/actas_comisiones2024_2027/2025/05/oficio_DHIG.pdf" TargetMode="External"/><Relationship Id="rId12" Type="http://schemas.openxmlformats.org/officeDocument/2006/relationships/hyperlink" Target="https://utei.imembrillos.gob.mx/documentos/articulo_8/FRACCION%20VI/INCISO%20J/actas_comisiones2024_2027/2025/04/oficio_DHIG.pdf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g"/><Relationship Id="rId15" Type="http://schemas.openxmlformats.org/officeDocument/2006/relationships/hyperlink" Target="https://utei.imembrillos.gob.mx/documentos/articulo_8/FRACCION%20VI/INCISO%20J/actas_comisiones2024_2027/2025/07/DH-IG-%20%20TPD%20Acta%2007%202025.pdf" TargetMode="External"/><Relationship Id="rId14" Type="http://schemas.openxmlformats.org/officeDocument/2006/relationships/hyperlink" Target="https://utei.imembrillos.gob.mx/documentos/articulo_8/FRACCION%20VI/INCISO%20J/actas_comisiones2024_2027/2025/06/DH-IG-PCIU%2006%202025%20Acta.pdf" TargetMode="External"/><Relationship Id="rId17" Type="http://schemas.openxmlformats.org/officeDocument/2006/relationships/hyperlink" Target="https://utei.imembrillos.gob.mx/documentos/articulo_8/FRACCION%20VI/INCISO%20J/actas_comisiones2024_2027/2025/09/DH-IG%20Acta%2009%202025.pdf" TargetMode="External"/><Relationship Id="rId16" Type="http://schemas.openxmlformats.org/officeDocument/2006/relationships/hyperlink" Target="https://utei.imembrillos.gob.mx/documentos/articulo_8/FRACCION%20VI/INCISO%20J/actas_comisiones2024_2027/2025/08/DH-IG%20Acta%2008%202025.pdf" TargetMode="Externa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image" Target="media/image6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GC8qrvZEC76ZY/NZ9JuMIqX12Q==">CgMxLjAyDmguaGpuNGJodDV6YzI1Mg5oLmxoMDZxdzc1ZDZxYzIOaC41OWY4eGVhbDdraHA4AHIhMVlKQm5tM1Y0bWlub3lMeGdRWUhmTHBvZ3lBWV8zeTE4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2026-02-18T17:51:00Z</dcterms:created>
  <dc:creator>rEGIDORES INTEGRANTES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B065738096974E5380C547F50E60AB9E_13</vt:lpwstr>
  </property>
</Properties>
</file>